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EBBA">
      <w:pPr>
        <w:framePr w:h="1245" w:hRule="exact" w:wrap="notBeside" w:vAnchor="text" w:hAnchor="text" w:xAlign="center" w:y="661"/>
        <w:jc w:val="center"/>
        <w:rPr>
          <w:color w:val="auto"/>
          <w:sz w:val="28"/>
          <w:szCs w:val="28"/>
        </w:rPr>
      </w:pPr>
      <w:r>
        <w:rPr>
          <w:color w:val="auto"/>
          <w:sz w:val="28"/>
          <w:szCs w:val="28"/>
        </w:rPr>
        <w:drawing>
          <wp:inline distT="0" distB="0" distL="0" distR="0">
            <wp:extent cx="523875" cy="619125"/>
            <wp:effectExtent l="1905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image1"/>
                    <pic:cNvPicPr>
                      <a:picLocks noChangeAspect="1" noChangeArrowheads="1"/>
                    </pic:cNvPicPr>
                  </pic:nvPicPr>
                  <pic:blipFill>
                    <a:blip r:embed="rId6"/>
                    <a:srcRect/>
                    <a:stretch>
                      <a:fillRect/>
                    </a:stretch>
                  </pic:blipFill>
                  <pic:spPr>
                    <a:xfrm>
                      <a:off x="0" y="0"/>
                      <a:ext cx="523875" cy="619125"/>
                    </a:xfrm>
                    <a:prstGeom prst="rect">
                      <a:avLst/>
                    </a:prstGeom>
                    <a:noFill/>
                    <a:ln w="9525">
                      <a:noFill/>
                      <a:miter lim="800000"/>
                      <a:headEnd/>
                      <a:tailEnd/>
                    </a:ln>
                  </pic:spPr>
                </pic:pic>
              </a:graphicData>
            </a:graphic>
          </wp:inline>
        </w:drawing>
      </w:r>
    </w:p>
    <w:p w14:paraId="0824CB0A">
      <w:pPr>
        <w:rPr>
          <w:color w:val="auto"/>
          <w:sz w:val="28"/>
          <w:szCs w:val="28"/>
        </w:rPr>
      </w:pPr>
    </w:p>
    <w:p w14:paraId="32946612">
      <w:pPr>
        <w:pStyle w:val="12"/>
        <w:keepNext/>
        <w:keepLines/>
        <w:shd w:val="clear" w:color="auto" w:fill="auto"/>
        <w:spacing w:before="0" w:line="480" w:lineRule="auto"/>
        <w:jc w:val="center"/>
        <w:rPr>
          <w:color w:val="auto"/>
          <w:sz w:val="28"/>
          <w:szCs w:val="28"/>
        </w:rPr>
      </w:pPr>
      <w:bookmarkStart w:id="0" w:name="bookmark0"/>
      <w:r>
        <w:rPr>
          <w:color w:val="auto"/>
          <w:sz w:val="28"/>
          <w:szCs w:val="28"/>
        </w:rPr>
        <w:t>АДМИНИСТРАЦИЯ</w:t>
      </w:r>
    </w:p>
    <w:p w14:paraId="09BF07F3">
      <w:pPr>
        <w:pStyle w:val="12"/>
        <w:keepNext/>
        <w:keepLines/>
        <w:shd w:val="clear" w:color="auto" w:fill="auto"/>
        <w:spacing w:before="0" w:line="480" w:lineRule="auto"/>
        <w:jc w:val="center"/>
        <w:rPr>
          <w:color w:val="auto"/>
          <w:sz w:val="28"/>
          <w:szCs w:val="28"/>
        </w:rPr>
      </w:pPr>
      <w:r>
        <w:rPr>
          <w:color w:val="auto"/>
          <w:sz w:val="28"/>
          <w:szCs w:val="28"/>
        </w:rPr>
        <w:t xml:space="preserve"> РОЩИНСКОГО СЕЛЬСОВЕТА </w:t>
      </w:r>
    </w:p>
    <w:p w14:paraId="2357F81F">
      <w:pPr>
        <w:pStyle w:val="12"/>
        <w:keepNext/>
        <w:keepLines/>
        <w:shd w:val="clear" w:color="auto" w:fill="auto"/>
        <w:spacing w:before="0" w:line="480" w:lineRule="auto"/>
        <w:jc w:val="center"/>
        <w:rPr>
          <w:color w:val="auto"/>
          <w:sz w:val="28"/>
          <w:szCs w:val="28"/>
        </w:rPr>
      </w:pPr>
      <w:r>
        <w:rPr>
          <w:color w:val="auto"/>
          <w:sz w:val="28"/>
          <w:szCs w:val="28"/>
        </w:rPr>
        <w:t>КРАСНОЯРСКОГО КРАЯ</w:t>
      </w:r>
    </w:p>
    <w:p w14:paraId="011C78F5">
      <w:pPr>
        <w:pStyle w:val="12"/>
        <w:keepNext/>
        <w:keepLines/>
        <w:shd w:val="clear" w:color="auto" w:fill="auto"/>
        <w:spacing w:before="0" w:line="480" w:lineRule="auto"/>
        <w:jc w:val="center"/>
        <w:rPr>
          <w:rFonts w:hint="default"/>
          <w:color w:val="auto"/>
          <w:sz w:val="28"/>
          <w:szCs w:val="28"/>
          <w:lang w:val="ru-RU"/>
        </w:rPr>
      </w:pPr>
      <w:r>
        <w:rPr>
          <w:color w:val="auto"/>
          <w:sz w:val="28"/>
          <w:szCs w:val="28"/>
        </w:rPr>
        <w:t xml:space="preserve"> </w:t>
      </w:r>
      <w:bookmarkEnd w:id="0"/>
      <w:r>
        <w:rPr>
          <w:color w:val="auto"/>
          <w:sz w:val="28"/>
          <w:szCs w:val="28"/>
        </w:rPr>
        <w:t>ПОСТАНОВЛЕНИ</w:t>
      </w:r>
      <w:r>
        <w:rPr>
          <w:color w:val="auto"/>
          <w:sz w:val="28"/>
          <w:szCs w:val="28"/>
          <w:lang w:val="ru-RU"/>
        </w:rPr>
        <w:t>Е</w:t>
      </w:r>
    </w:p>
    <w:p w14:paraId="4C3791FB">
      <w:pPr>
        <w:pStyle w:val="12"/>
        <w:keepNext/>
        <w:keepLines/>
        <w:shd w:val="clear" w:color="auto" w:fill="auto"/>
        <w:spacing w:before="0" w:line="480" w:lineRule="auto"/>
        <w:rPr>
          <w:b w:val="0"/>
          <w:color w:val="auto"/>
          <w:sz w:val="28"/>
          <w:szCs w:val="28"/>
        </w:rPr>
        <w:sectPr>
          <w:type w:val="continuous"/>
          <w:pgSz w:w="11905" w:h="16837"/>
          <w:pgMar w:top="611" w:right="565" w:bottom="1029" w:left="1701" w:header="0" w:footer="3" w:gutter="0"/>
          <w:cols w:space="720" w:num="1"/>
          <w:docGrid w:linePitch="360" w:charSpace="0"/>
        </w:sectPr>
      </w:pPr>
      <w:r>
        <w:rPr>
          <w:b w:val="0"/>
          <w:color w:val="auto"/>
          <w:sz w:val="28"/>
          <w:szCs w:val="28"/>
        </w:rPr>
        <w:t>00.11.2024</w:t>
      </w:r>
      <w:r>
        <w:rPr>
          <w:b w:val="0"/>
          <w:color w:val="auto"/>
          <w:sz w:val="28"/>
          <w:szCs w:val="28"/>
        </w:rPr>
        <w:tab/>
      </w:r>
      <w:r>
        <w:rPr>
          <w:b w:val="0"/>
          <w:color w:val="auto"/>
          <w:sz w:val="28"/>
          <w:szCs w:val="28"/>
        </w:rPr>
        <w:tab/>
      </w:r>
      <w:r>
        <w:rPr>
          <w:b w:val="0"/>
          <w:color w:val="auto"/>
          <w:sz w:val="28"/>
          <w:szCs w:val="28"/>
        </w:rPr>
        <w:tab/>
      </w:r>
      <w:r>
        <w:rPr>
          <w:b w:val="0"/>
          <w:color w:val="auto"/>
          <w:sz w:val="28"/>
          <w:szCs w:val="28"/>
        </w:rPr>
        <w:tab/>
      </w:r>
      <w:r>
        <w:rPr>
          <w:b w:val="0"/>
          <w:color w:val="auto"/>
          <w:sz w:val="28"/>
          <w:szCs w:val="28"/>
        </w:rPr>
        <w:t xml:space="preserve">      п. Рощинский </w:t>
      </w:r>
      <w:r>
        <w:rPr>
          <w:b w:val="0"/>
          <w:color w:val="auto"/>
          <w:sz w:val="28"/>
          <w:szCs w:val="28"/>
        </w:rPr>
        <w:tab/>
      </w:r>
      <w:r>
        <w:rPr>
          <w:b w:val="0"/>
          <w:color w:val="auto"/>
          <w:sz w:val="28"/>
          <w:szCs w:val="28"/>
        </w:rPr>
        <w:tab/>
      </w:r>
      <w:r>
        <w:rPr>
          <w:b w:val="0"/>
          <w:color w:val="auto"/>
          <w:sz w:val="28"/>
          <w:szCs w:val="28"/>
        </w:rPr>
        <w:t xml:space="preserve">       № </w:t>
      </w:r>
      <w:r>
        <w:rPr>
          <w:rFonts w:hint="default"/>
          <w:b w:val="0"/>
          <w:color w:val="auto"/>
          <w:sz w:val="28"/>
          <w:szCs w:val="28"/>
          <w:lang w:val="ru-RU"/>
        </w:rPr>
        <w:t>00</w:t>
      </w:r>
      <w:r>
        <w:rPr>
          <w:b w:val="0"/>
          <w:color w:val="000000" w:themeColor="text1"/>
          <w:sz w:val="28"/>
          <w:szCs w:val="28"/>
          <w:highlight w:val="none"/>
          <w:shd w:val="clear" w:color="auto" w:fill="auto"/>
          <w14:textFill>
            <w14:solidFill>
              <w14:schemeClr w14:val="tx1"/>
            </w14:solidFill>
          </w14:textFill>
        </w:rPr>
        <w:t>-п</w:t>
      </w:r>
      <w:r>
        <w:rPr>
          <w:b w:val="0"/>
          <w:color w:val="auto"/>
          <w:sz w:val="28"/>
          <w:szCs w:val="28"/>
          <w:shd w:val="clear" w:color="auto" w:fill="auto"/>
        </w:rPr>
        <w:tab/>
      </w:r>
      <w:r>
        <w:rPr>
          <w:b w:val="0"/>
          <w:color w:val="auto"/>
          <w:sz w:val="28"/>
          <w:szCs w:val="28"/>
          <w:shd w:val="clear" w:color="auto" w:fill="auto"/>
        </w:rPr>
        <w:tab/>
      </w:r>
    </w:p>
    <w:p w14:paraId="6C73739A">
      <w:pPr>
        <w:rPr>
          <w:color w:val="auto"/>
          <w:sz w:val="28"/>
          <w:szCs w:val="28"/>
        </w:rPr>
        <w:sectPr>
          <w:type w:val="continuous"/>
          <w:pgSz w:w="11905" w:h="16837"/>
          <w:pgMar w:top="0" w:right="0" w:bottom="0" w:left="0" w:header="0" w:footer="3" w:gutter="0"/>
          <w:cols w:space="720" w:num="1"/>
          <w:docGrid w:linePitch="360" w:charSpace="0"/>
        </w:sectPr>
      </w:pPr>
      <w:r>
        <w:rPr>
          <w:color w:val="auto"/>
          <w:sz w:val="28"/>
          <w:szCs w:val="28"/>
        </w:rPr>
        <w:t xml:space="preserve"> </w:t>
      </w:r>
    </w:p>
    <w:p w14:paraId="2A2EAE8A">
      <w:pPr>
        <w:autoSpaceDE w:val="0"/>
        <w:autoSpaceDN w:val="0"/>
        <w:adjustRightInd w:val="0"/>
        <w:rPr>
          <w:sz w:val="28"/>
          <w:szCs w:val="28"/>
        </w:rPr>
      </w:pPr>
      <w:r>
        <w:rPr>
          <w:sz w:val="28"/>
          <w:szCs w:val="28"/>
        </w:rPr>
        <w:t>Об утверждении перечня главных администраторов</w:t>
      </w:r>
    </w:p>
    <w:p w14:paraId="3DF68C00">
      <w:pPr>
        <w:autoSpaceDE w:val="0"/>
        <w:autoSpaceDN w:val="0"/>
        <w:adjustRightInd w:val="0"/>
        <w:rPr>
          <w:sz w:val="28"/>
          <w:szCs w:val="28"/>
        </w:rPr>
      </w:pPr>
      <w:r>
        <w:rPr>
          <w:sz w:val="28"/>
          <w:szCs w:val="28"/>
        </w:rPr>
        <w:t>источников финансирования дефицита местного бюджета</w:t>
      </w:r>
    </w:p>
    <w:p w14:paraId="68CE1130">
      <w:pPr>
        <w:autoSpaceDE w:val="0"/>
        <w:autoSpaceDN w:val="0"/>
        <w:adjustRightInd w:val="0"/>
        <w:rPr>
          <w:sz w:val="28"/>
          <w:szCs w:val="28"/>
        </w:rPr>
      </w:pPr>
    </w:p>
    <w:p w14:paraId="22E74B85">
      <w:pPr>
        <w:autoSpaceDE w:val="0"/>
        <w:autoSpaceDN w:val="0"/>
        <w:adjustRightInd w:val="0"/>
        <w:ind w:firstLine="684"/>
        <w:jc w:val="both"/>
        <w:rPr>
          <w:sz w:val="28"/>
          <w:szCs w:val="28"/>
        </w:rPr>
      </w:pPr>
      <w:r>
        <w:rPr>
          <w:sz w:val="28"/>
          <w:szCs w:val="28"/>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Уставом администрации Рощинского сельсовета, решением Брагинского сельского  Совета депутатов от 19.04.2022 № 20-62-р «Положения о бюджетном процессе  в муниципальном образовании Рощинский сельсовет «Положения о бюджетном процессе  в муниципальном образовании Рощинский сельсовет», ПОСТАНОВЛЯЮ:</w:t>
      </w:r>
    </w:p>
    <w:p w14:paraId="5610874E">
      <w:pPr>
        <w:autoSpaceDE w:val="0"/>
        <w:autoSpaceDN w:val="0"/>
        <w:adjustRightInd w:val="0"/>
        <w:ind w:firstLine="709"/>
        <w:jc w:val="both"/>
        <w:rPr>
          <w:sz w:val="28"/>
          <w:szCs w:val="28"/>
        </w:rPr>
      </w:pPr>
      <w:r>
        <w:rPr>
          <w:sz w:val="28"/>
          <w:szCs w:val="28"/>
        </w:rPr>
        <w:t xml:space="preserve">1. Утвердить перечень главных администраторов источников финансирования дефицита местного бюджета согласно приложению. </w:t>
      </w:r>
    </w:p>
    <w:p w14:paraId="1996C8DB">
      <w:pPr>
        <w:autoSpaceDE w:val="0"/>
        <w:autoSpaceDN w:val="0"/>
        <w:adjustRightInd w:val="0"/>
        <w:ind w:firstLine="709"/>
        <w:jc w:val="both"/>
        <w:rPr>
          <w:sz w:val="28"/>
          <w:szCs w:val="28"/>
        </w:rPr>
      </w:pPr>
      <w:r>
        <w:rPr>
          <w:sz w:val="28"/>
          <w:szCs w:val="28"/>
        </w:rPr>
        <w:t>2. Установить, что в случаях изменения состава и (или) функций главных администраторов источников финансирования дефицита  бюджета муниципального образования Рощинский сельсовет, а также изменения принципов назначения и присвоения структуры кодов классификации источников финансирования дефицита районного бюджета до внесения соответствующих изменений в перечень главных администраторов источников финансирования дефицита  бюджета муниципального образования Рощинский сельсовет  закрепление группы, подгруппы, статьи и вида источника финансирования дефицита бюджета муниципального образования Рощинский сельсовет за главными администраторами источников финансирования дефицита  бюджета муниципального образования Рощинский сельсовет, являющимися органами местного самоуправления муниципального образования Рощинский сельсовет, осуществляется правовыми актами  муниципального образования Рощинский сельсовет.</w:t>
      </w:r>
    </w:p>
    <w:p w14:paraId="27331CB6">
      <w:pPr>
        <w:autoSpaceDE w:val="0"/>
        <w:autoSpaceDN w:val="0"/>
        <w:adjustRightInd w:val="0"/>
        <w:ind w:firstLine="709"/>
        <w:jc w:val="both"/>
        <w:rPr>
          <w:sz w:val="28"/>
          <w:szCs w:val="28"/>
        </w:rPr>
      </w:pPr>
      <w:r>
        <w:rPr>
          <w:sz w:val="28"/>
          <w:szCs w:val="28"/>
        </w:rPr>
        <w:t>3. Контроль за исполнением постановления оставляю за собой.</w:t>
      </w:r>
    </w:p>
    <w:p w14:paraId="2A9F30D7">
      <w:pPr>
        <w:autoSpaceDE w:val="0"/>
        <w:autoSpaceDN w:val="0"/>
        <w:adjustRightInd w:val="0"/>
        <w:ind w:firstLine="709"/>
        <w:jc w:val="both"/>
        <w:outlineLvl w:val="2"/>
        <w:rPr>
          <w:sz w:val="28"/>
          <w:szCs w:val="28"/>
        </w:rPr>
      </w:pPr>
      <w:r>
        <w:rPr>
          <w:sz w:val="28"/>
          <w:szCs w:val="28"/>
        </w:rPr>
        <w:t>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бюджета, начиная с бюджета на 2025 год и плановый период 2026–2027 годов.</w:t>
      </w:r>
    </w:p>
    <w:p w14:paraId="587F4995">
      <w:pPr>
        <w:autoSpaceDE w:val="0"/>
        <w:ind w:firstLine="708"/>
        <w:jc w:val="both"/>
        <w:rPr>
          <w:sz w:val="28"/>
          <w:szCs w:val="28"/>
        </w:rPr>
      </w:pPr>
      <w:r>
        <w:rPr>
          <w:sz w:val="28"/>
          <w:szCs w:val="28"/>
        </w:rPr>
        <w:t xml:space="preserve">5.Признать утратившим силу с 1 января 2025 года постановление администрации Рощинского сельсовета от 21.12.2023 №44-п «Об утверждении перечня главных администраторов источников финансирования дефицита  бюджета </w:t>
      </w:r>
      <w:r>
        <w:rPr>
          <w:sz w:val="28"/>
          <w:szCs w:val="28"/>
          <w:lang w:val="ru-RU"/>
        </w:rPr>
        <w:t>местного</w:t>
      </w:r>
      <w:r>
        <w:rPr>
          <w:rFonts w:hint="default"/>
          <w:sz w:val="28"/>
          <w:szCs w:val="28"/>
          <w:lang w:val="ru-RU"/>
        </w:rPr>
        <w:t xml:space="preserve"> бюджета</w:t>
      </w:r>
      <w:r>
        <w:rPr>
          <w:sz w:val="28"/>
          <w:szCs w:val="28"/>
        </w:rPr>
        <w:t>».</w:t>
      </w:r>
    </w:p>
    <w:p w14:paraId="54DAFAAD">
      <w:pPr>
        <w:autoSpaceDE w:val="0"/>
        <w:autoSpaceDN w:val="0"/>
        <w:adjustRightInd w:val="0"/>
        <w:ind w:firstLine="709"/>
        <w:jc w:val="both"/>
        <w:outlineLvl w:val="2"/>
        <w:rPr>
          <w:sz w:val="28"/>
          <w:szCs w:val="28"/>
        </w:rPr>
      </w:pPr>
    </w:p>
    <w:p w14:paraId="687C197F">
      <w:pPr>
        <w:autoSpaceDE w:val="0"/>
        <w:autoSpaceDN w:val="0"/>
        <w:adjustRightInd w:val="0"/>
        <w:jc w:val="both"/>
        <w:rPr>
          <w:sz w:val="28"/>
          <w:szCs w:val="28"/>
        </w:rPr>
      </w:pPr>
    </w:p>
    <w:p w14:paraId="7FA14CDF">
      <w:pPr>
        <w:autoSpaceDE w:val="0"/>
        <w:autoSpaceDN w:val="0"/>
        <w:adjustRightInd w:val="0"/>
        <w:jc w:val="both"/>
        <w:rPr>
          <w:sz w:val="28"/>
          <w:szCs w:val="28"/>
        </w:rPr>
      </w:pPr>
    </w:p>
    <w:p w14:paraId="13EC8B63">
      <w:pPr>
        <w:autoSpaceDE w:val="0"/>
        <w:autoSpaceDN w:val="0"/>
        <w:adjustRightInd w:val="0"/>
        <w:ind w:firstLine="570"/>
        <w:rPr>
          <w:szCs w:val="28"/>
        </w:r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И.Ю. Есяков  </w:t>
      </w:r>
    </w:p>
    <w:p w14:paraId="2A560B1B">
      <w:pPr>
        <w:autoSpaceDE w:val="0"/>
        <w:autoSpaceDN w:val="0"/>
        <w:adjustRightInd w:val="0"/>
        <w:ind w:firstLine="570"/>
        <w:rPr>
          <w:szCs w:val="28"/>
        </w:rPr>
      </w:pPr>
    </w:p>
    <w:p w14:paraId="5D26717B">
      <w:pPr>
        <w:autoSpaceDE w:val="0"/>
        <w:autoSpaceDN w:val="0"/>
        <w:adjustRightInd w:val="0"/>
        <w:ind w:right="-1"/>
        <w:jc w:val="center"/>
        <w:outlineLvl w:val="0"/>
        <w:rPr>
          <w:b/>
          <w:szCs w:val="28"/>
        </w:rPr>
      </w:pPr>
    </w:p>
    <w:p w14:paraId="76ABB413">
      <w:pPr>
        <w:autoSpaceDE w:val="0"/>
        <w:autoSpaceDN w:val="0"/>
        <w:adjustRightInd w:val="0"/>
        <w:ind w:right="-1"/>
        <w:jc w:val="center"/>
        <w:outlineLvl w:val="0"/>
        <w:rPr>
          <w:b/>
          <w:szCs w:val="28"/>
        </w:rPr>
      </w:pPr>
    </w:p>
    <w:p w14:paraId="179807F6">
      <w:pPr>
        <w:autoSpaceDE w:val="0"/>
        <w:autoSpaceDN w:val="0"/>
        <w:adjustRightInd w:val="0"/>
        <w:ind w:right="-1"/>
        <w:jc w:val="center"/>
        <w:outlineLvl w:val="0"/>
        <w:rPr>
          <w:b/>
          <w:szCs w:val="28"/>
        </w:rPr>
      </w:pPr>
    </w:p>
    <w:p w14:paraId="04160DBE">
      <w:pPr>
        <w:autoSpaceDE w:val="0"/>
        <w:autoSpaceDN w:val="0"/>
        <w:adjustRightInd w:val="0"/>
        <w:ind w:right="-1"/>
        <w:jc w:val="center"/>
        <w:outlineLvl w:val="0"/>
        <w:rPr>
          <w:b/>
          <w:szCs w:val="28"/>
        </w:rPr>
      </w:pPr>
    </w:p>
    <w:p w14:paraId="660B3D9F">
      <w:pPr>
        <w:autoSpaceDE w:val="0"/>
        <w:autoSpaceDN w:val="0"/>
        <w:adjustRightInd w:val="0"/>
        <w:ind w:right="-1"/>
        <w:jc w:val="center"/>
        <w:outlineLvl w:val="0"/>
        <w:rPr>
          <w:b/>
          <w:szCs w:val="28"/>
        </w:rPr>
      </w:pPr>
    </w:p>
    <w:p w14:paraId="3856C436">
      <w:pPr>
        <w:autoSpaceDE w:val="0"/>
        <w:autoSpaceDN w:val="0"/>
        <w:adjustRightInd w:val="0"/>
        <w:ind w:right="-1"/>
        <w:jc w:val="center"/>
        <w:outlineLvl w:val="0"/>
        <w:rPr>
          <w:b/>
          <w:szCs w:val="28"/>
        </w:rPr>
      </w:pPr>
    </w:p>
    <w:p w14:paraId="0B2BA22D">
      <w:pPr>
        <w:autoSpaceDE w:val="0"/>
        <w:autoSpaceDN w:val="0"/>
        <w:adjustRightInd w:val="0"/>
        <w:ind w:right="-1"/>
        <w:jc w:val="center"/>
        <w:outlineLvl w:val="0"/>
        <w:rPr>
          <w:b/>
          <w:szCs w:val="28"/>
        </w:rPr>
      </w:pPr>
    </w:p>
    <w:p w14:paraId="495A4B0D">
      <w:pPr>
        <w:autoSpaceDE w:val="0"/>
        <w:autoSpaceDN w:val="0"/>
        <w:adjustRightInd w:val="0"/>
        <w:ind w:right="-1"/>
        <w:jc w:val="center"/>
        <w:outlineLvl w:val="0"/>
        <w:rPr>
          <w:b/>
          <w:szCs w:val="28"/>
        </w:rPr>
      </w:pPr>
    </w:p>
    <w:p w14:paraId="757DD824">
      <w:pPr>
        <w:autoSpaceDE w:val="0"/>
        <w:autoSpaceDN w:val="0"/>
        <w:adjustRightInd w:val="0"/>
        <w:ind w:right="-1"/>
        <w:jc w:val="center"/>
        <w:outlineLvl w:val="0"/>
        <w:rPr>
          <w:b/>
          <w:szCs w:val="28"/>
        </w:rPr>
      </w:pPr>
    </w:p>
    <w:p w14:paraId="4C4945F8">
      <w:pPr>
        <w:autoSpaceDE w:val="0"/>
        <w:autoSpaceDN w:val="0"/>
        <w:adjustRightInd w:val="0"/>
        <w:ind w:right="-1"/>
        <w:jc w:val="center"/>
        <w:outlineLvl w:val="0"/>
        <w:rPr>
          <w:b/>
          <w:szCs w:val="28"/>
        </w:rPr>
      </w:pPr>
    </w:p>
    <w:p w14:paraId="177BBB3C">
      <w:pPr>
        <w:autoSpaceDE w:val="0"/>
        <w:autoSpaceDN w:val="0"/>
        <w:adjustRightInd w:val="0"/>
        <w:ind w:right="-1"/>
        <w:jc w:val="center"/>
        <w:outlineLvl w:val="0"/>
        <w:rPr>
          <w:b/>
          <w:szCs w:val="28"/>
        </w:rPr>
      </w:pPr>
    </w:p>
    <w:p w14:paraId="794A98DF">
      <w:pPr>
        <w:autoSpaceDE w:val="0"/>
        <w:autoSpaceDN w:val="0"/>
        <w:adjustRightInd w:val="0"/>
        <w:ind w:right="-1"/>
        <w:jc w:val="center"/>
        <w:outlineLvl w:val="0"/>
        <w:rPr>
          <w:b/>
          <w:szCs w:val="28"/>
        </w:rPr>
      </w:pPr>
    </w:p>
    <w:p w14:paraId="2D067A33">
      <w:pPr>
        <w:autoSpaceDE w:val="0"/>
        <w:autoSpaceDN w:val="0"/>
        <w:adjustRightInd w:val="0"/>
        <w:ind w:right="-1"/>
        <w:jc w:val="center"/>
        <w:outlineLvl w:val="0"/>
        <w:rPr>
          <w:b/>
          <w:szCs w:val="28"/>
        </w:rPr>
      </w:pPr>
    </w:p>
    <w:p w14:paraId="7EB29C6B">
      <w:pPr>
        <w:autoSpaceDE w:val="0"/>
        <w:autoSpaceDN w:val="0"/>
        <w:adjustRightInd w:val="0"/>
        <w:ind w:right="-1"/>
        <w:jc w:val="center"/>
        <w:outlineLvl w:val="0"/>
        <w:rPr>
          <w:b/>
          <w:szCs w:val="28"/>
        </w:rPr>
      </w:pPr>
    </w:p>
    <w:p w14:paraId="632E3794">
      <w:pPr>
        <w:autoSpaceDE w:val="0"/>
        <w:autoSpaceDN w:val="0"/>
        <w:adjustRightInd w:val="0"/>
        <w:ind w:right="-1"/>
        <w:jc w:val="center"/>
        <w:outlineLvl w:val="0"/>
        <w:rPr>
          <w:b/>
          <w:szCs w:val="28"/>
        </w:rPr>
      </w:pPr>
    </w:p>
    <w:p w14:paraId="736799D2">
      <w:pPr>
        <w:autoSpaceDE w:val="0"/>
        <w:autoSpaceDN w:val="0"/>
        <w:adjustRightInd w:val="0"/>
        <w:ind w:right="-1"/>
        <w:jc w:val="center"/>
        <w:outlineLvl w:val="0"/>
        <w:rPr>
          <w:b/>
          <w:szCs w:val="28"/>
        </w:rPr>
      </w:pPr>
    </w:p>
    <w:p w14:paraId="2E7027AA">
      <w:pPr>
        <w:autoSpaceDE w:val="0"/>
        <w:autoSpaceDN w:val="0"/>
        <w:adjustRightInd w:val="0"/>
        <w:ind w:right="-1"/>
        <w:jc w:val="center"/>
        <w:outlineLvl w:val="0"/>
        <w:rPr>
          <w:b/>
          <w:szCs w:val="28"/>
        </w:rPr>
      </w:pPr>
    </w:p>
    <w:p w14:paraId="7821432D">
      <w:pPr>
        <w:autoSpaceDE w:val="0"/>
        <w:autoSpaceDN w:val="0"/>
        <w:adjustRightInd w:val="0"/>
        <w:ind w:right="-1"/>
        <w:jc w:val="center"/>
        <w:outlineLvl w:val="0"/>
        <w:rPr>
          <w:b/>
          <w:szCs w:val="28"/>
        </w:rPr>
      </w:pPr>
    </w:p>
    <w:p w14:paraId="5885746B">
      <w:pPr>
        <w:autoSpaceDE w:val="0"/>
        <w:autoSpaceDN w:val="0"/>
        <w:adjustRightInd w:val="0"/>
        <w:ind w:right="-1"/>
        <w:jc w:val="center"/>
        <w:outlineLvl w:val="0"/>
        <w:rPr>
          <w:b/>
          <w:szCs w:val="28"/>
        </w:rPr>
      </w:pPr>
    </w:p>
    <w:p w14:paraId="46F7941B">
      <w:pPr>
        <w:autoSpaceDE w:val="0"/>
        <w:autoSpaceDN w:val="0"/>
        <w:adjustRightInd w:val="0"/>
        <w:ind w:right="-1"/>
        <w:jc w:val="center"/>
        <w:outlineLvl w:val="0"/>
        <w:rPr>
          <w:b/>
          <w:szCs w:val="28"/>
        </w:rPr>
      </w:pPr>
    </w:p>
    <w:p w14:paraId="3D1CAE77">
      <w:pPr>
        <w:autoSpaceDE w:val="0"/>
        <w:autoSpaceDN w:val="0"/>
        <w:adjustRightInd w:val="0"/>
        <w:ind w:right="-1"/>
        <w:jc w:val="center"/>
        <w:outlineLvl w:val="0"/>
        <w:rPr>
          <w:b/>
          <w:szCs w:val="28"/>
        </w:rPr>
      </w:pPr>
    </w:p>
    <w:p w14:paraId="532FD1F3">
      <w:pPr>
        <w:autoSpaceDE w:val="0"/>
        <w:autoSpaceDN w:val="0"/>
        <w:adjustRightInd w:val="0"/>
        <w:ind w:right="-1"/>
        <w:jc w:val="center"/>
        <w:outlineLvl w:val="0"/>
        <w:rPr>
          <w:b/>
          <w:szCs w:val="28"/>
        </w:rPr>
      </w:pPr>
    </w:p>
    <w:p w14:paraId="32DAA010">
      <w:pPr>
        <w:autoSpaceDE w:val="0"/>
        <w:autoSpaceDN w:val="0"/>
        <w:adjustRightInd w:val="0"/>
        <w:ind w:right="-1"/>
        <w:jc w:val="center"/>
        <w:outlineLvl w:val="0"/>
        <w:rPr>
          <w:b/>
          <w:szCs w:val="28"/>
        </w:rPr>
      </w:pPr>
    </w:p>
    <w:p w14:paraId="075E2B36">
      <w:pPr>
        <w:autoSpaceDE w:val="0"/>
        <w:autoSpaceDN w:val="0"/>
        <w:adjustRightInd w:val="0"/>
        <w:ind w:right="-1"/>
        <w:jc w:val="center"/>
        <w:outlineLvl w:val="0"/>
        <w:rPr>
          <w:b/>
          <w:szCs w:val="28"/>
        </w:rPr>
      </w:pPr>
    </w:p>
    <w:p w14:paraId="57FCC520">
      <w:pPr>
        <w:autoSpaceDE w:val="0"/>
        <w:autoSpaceDN w:val="0"/>
        <w:adjustRightInd w:val="0"/>
        <w:ind w:right="-1"/>
        <w:jc w:val="center"/>
        <w:outlineLvl w:val="0"/>
        <w:rPr>
          <w:b/>
          <w:szCs w:val="28"/>
        </w:rPr>
      </w:pPr>
    </w:p>
    <w:p w14:paraId="19CDF83D">
      <w:pPr>
        <w:autoSpaceDE w:val="0"/>
        <w:autoSpaceDN w:val="0"/>
        <w:adjustRightInd w:val="0"/>
        <w:ind w:right="-1"/>
        <w:jc w:val="center"/>
        <w:outlineLvl w:val="0"/>
        <w:rPr>
          <w:b/>
          <w:szCs w:val="28"/>
        </w:rPr>
      </w:pPr>
    </w:p>
    <w:p w14:paraId="3706B86F">
      <w:pPr>
        <w:autoSpaceDE w:val="0"/>
        <w:autoSpaceDN w:val="0"/>
        <w:adjustRightInd w:val="0"/>
        <w:ind w:right="-1"/>
        <w:jc w:val="center"/>
        <w:outlineLvl w:val="0"/>
        <w:rPr>
          <w:b/>
          <w:szCs w:val="28"/>
        </w:rPr>
      </w:pPr>
    </w:p>
    <w:p w14:paraId="57E84060">
      <w:pPr>
        <w:autoSpaceDE w:val="0"/>
        <w:autoSpaceDN w:val="0"/>
        <w:adjustRightInd w:val="0"/>
        <w:ind w:right="-1"/>
        <w:jc w:val="center"/>
        <w:outlineLvl w:val="0"/>
        <w:rPr>
          <w:b/>
          <w:szCs w:val="28"/>
        </w:rPr>
      </w:pPr>
    </w:p>
    <w:p w14:paraId="5351E674">
      <w:pPr>
        <w:autoSpaceDE w:val="0"/>
        <w:autoSpaceDN w:val="0"/>
        <w:adjustRightInd w:val="0"/>
        <w:ind w:right="-1"/>
        <w:jc w:val="center"/>
        <w:outlineLvl w:val="0"/>
        <w:rPr>
          <w:b/>
          <w:szCs w:val="28"/>
        </w:rPr>
      </w:pPr>
    </w:p>
    <w:p w14:paraId="76E1105B">
      <w:pPr>
        <w:autoSpaceDE w:val="0"/>
        <w:autoSpaceDN w:val="0"/>
        <w:adjustRightInd w:val="0"/>
        <w:ind w:right="-1"/>
        <w:jc w:val="center"/>
        <w:outlineLvl w:val="0"/>
        <w:rPr>
          <w:b/>
          <w:szCs w:val="28"/>
        </w:rPr>
      </w:pPr>
    </w:p>
    <w:p w14:paraId="2A8CAB66">
      <w:pPr>
        <w:autoSpaceDE w:val="0"/>
        <w:autoSpaceDN w:val="0"/>
        <w:adjustRightInd w:val="0"/>
        <w:ind w:right="-1"/>
        <w:jc w:val="center"/>
        <w:outlineLvl w:val="0"/>
        <w:rPr>
          <w:b/>
          <w:szCs w:val="28"/>
        </w:rPr>
      </w:pPr>
    </w:p>
    <w:p w14:paraId="79CEBEB0">
      <w:pPr>
        <w:autoSpaceDE w:val="0"/>
        <w:autoSpaceDN w:val="0"/>
        <w:adjustRightInd w:val="0"/>
        <w:ind w:right="-1"/>
        <w:jc w:val="center"/>
        <w:outlineLvl w:val="0"/>
        <w:rPr>
          <w:b/>
          <w:szCs w:val="28"/>
        </w:rPr>
      </w:pPr>
    </w:p>
    <w:p w14:paraId="0DD38643">
      <w:pPr>
        <w:autoSpaceDE w:val="0"/>
        <w:autoSpaceDN w:val="0"/>
        <w:adjustRightInd w:val="0"/>
        <w:ind w:right="-1"/>
        <w:jc w:val="center"/>
        <w:outlineLvl w:val="0"/>
        <w:rPr>
          <w:b/>
          <w:szCs w:val="28"/>
        </w:rPr>
      </w:pPr>
    </w:p>
    <w:p w14:paraId="10EC33E2">
      <w:pPr>
        <w:autoSpaceDE w:val="0"/>
        <w:autoSpaceDN w:val="0"/>
        <w:adjustRightInd w:val="0"/>
        <w:ind w:right="-1"/>
        <w:jc w:val="center"/>
        <w:outlineLvl w:val="0"/>
        <w:rPr>
          <w:b/>
          <w:szCs w:val="28"/>
        </w:rPr>
      </w:pPr>
    </w:p>
    <w:p w14:paraId="624E39FD">
      <w:pPr>
        <w:autoSpaceDE w:val="0"/>
        <w:autoSpaceDN w:val="0"/>
        <w:adjustRightInd w:val="0"/>
        <w:ind w:right="-1"/>
        <w:jc w:val="center"/>
        <w:outlineLvl w:val="0"/>
        <w:rPr>
          <w:b/>
          <w:szCs w:val="28"/>
        </w:rPr>
      </w:pPr>
    </w:p>
    <w:p w14:paraId="192E2BCE">
      <w:pPr>
        <w:autoSpaceDE w:val="0"/>
        <w:autoSpaceDN w:val="0"/>
        <w:adjustRightInd w:val="0"/>
        <w:ind w:right="-1"/>
        <w:jc w:val="center"/>
        <w:outlineLvl w:val="0"/>
        <w:rPr>
          <w:b/>
          <w:szCs w:val="28"/>
        </w:rPr>
      </w:pPr>
      <w:bookmarkStart w:id="1" w:name="_GoBack"/>
      <w:bookmarkEnd w:id="1"/>
    </w:p>
    <w:p w14:paraId="40CECD71">
      <w:pPr>
        <w:autoSpaceDE w:val="0"/>
        <w:autoSpaceDN w:val="0"/>
        <w:adjustRightInd w:val="0"/>
        <w:ind w:left="4248" w:right="-1" w:firstLine="708"/>
        <w:jc w:val="right"/>
        <w:outlineLvl w:val="0"/>
        <w:rPr>
          <w:sz w:val="28"/>
          <w:szCs w:val="28"/>
        </w:rPr>
      </w:pPr>
      <w:r>
        <w:rPr>
          <w:sz w:val="28"/>
          <w:szCs w:val="28"/>
        </w:rPr>
        <w:t xml:space="preserve">Приложение к постановлению </w:t>
      </w:r>
    </w:p>
    <w:p w14:paraId="6232AB6C">
      <w:pPr>
        <w:autoSpaceDE w:val="0"/>
        <w:autoSpaceDN w:val="0"/>
        <w:adjustRightInd w:val="0"/>
        <w:ind w:left="4248" w:right="-1" w:firstLine="708"/>
        <w:jc w:val="right"/>
        <w:outlineLvl w:val="0"/>
        <w:rPr>
          <w:sz w:val="28"/>
          <w:szCs w:val="28"/>
        </w:rPr>
      </w:pPr>
      <w:r>
        <w:rPr>
          <w:sz w:val="28"/>
          <w:szCs w:val="28"/>
        </w:rPr>
        <w:t xml:space="preserve">администрации Рощинского       сельсовета </w:t>
      </w:r>
    </w:p>
    <w:p w14:paraId="5554E1D2">
      <w:pPr>
        <w:autoSpaceDE w:val="0"/>
        <w:autoSpaceDN w:val="0"/>
        <w:adjustRightInd w:val="0"/>
        <w:ind w:left="4248" w:right="-1" w:firstLine="708"/>
        <w:jc w:val="right"/>
        <w:outlineLvl w:val="0"/>
        <w:rPr>
          <w:sz w:val="28"/>
          <w:szCs w:val="28"/>
        </w:rPr>
      </w:pPr>
      <w:r>
        <w:rPr>
          <w:sz w:val="28"/>
          <w:szCs w:val="28"/>
        </w:rPr>
        <w:t>От</w:t>
      </w:r>
      <w:r>
        <w:rPr>
          <w:rFonts w:hint="default"/>
          <w:sz w:val="28"/>
          <w:szCs w:val="28"/>
          <w:lang w:val="ru-RU"/>
        </w:rPr>
        <w:t xml:space="preserve"> 00.00 2024г</w:t>
      </w:r>
      <w:r>
        <w:rPr>
          <w:sz w:val="28"/>
          <w:szCs w:val="28"/>
        </w:rPr>
        <w:t xml:space="preserve"> №</w:t>
      </w:r>
      <w:r>
        <w:rPr>
          <w:rFonts w:hint="default"/>
          <w:sz w:val="28"/>
          <w:szCs w:val="28"/>
          <w:lang w:val="ru-RU"/>
        </w:rPr>
        <w:t xml:space="preserve"> 00-п</w:t>
      </w:r>
      <w:r>
        <w:rPr>
          <w:sz w:val="28"/>
          <w:szCs w:val="28"/>
        </w:rPr>
        <w:t xml:space="preserve"> </w:t>
      </w:r>
    </w:p>
    <w:p w14:paraId="106F1D4B">
      <w:pPr>
        <w:autoSpaceDE w:val="0"/>
        <w:autoSpaceDN w:val="0"/>
        <w:adjustRightInd w:val="0"/>
        <w:ind w:left="4248" w:right="-1" w:firstLine="708"/>
        <w:outlineLvl w:val="0"/>
        <w:rPr>
          <w:sz w:val="28"/>
          <w:szCs w:val="28"/>
        </w:rPr>
      </w:pPr>
    </w:p>
    <w:p w14:paraId="16E63674">
      <w:pPr>
        <w:pStyle w:val="19"/>
        <w:jc w:val="center"/>
        <w:rPr>
          <w:b/>
        </w:rPr>
      </w:pPr>
      <w:r>
        <w:rPr>
          <w:b/>
        </w:rPr>
        <w:t xml:space="preserve">Перечень главных администраторов источников </w:t>
      </w:r>
    </w:p>
    <w:p w14:paraId="56C3252F">
      <w:pPr>
        <w:pStyle w:val="19"/>
        <w:jc w:val="center"/>
        <w:rPr>
          <w:b/>
        </w:rPr>
      </w:pPr>
      <w:r>
        <w:rPr>
          <w:b/>
        </w:rPr>
        <w:t>финансирования дефицита местного бюджета</w:t>
      </w:r>
    </w:p>
    <w:p w14:paraId="121841DA">
      <w:pPr>
        <w:autoSpaceDE w:val="0"/>
        <w:autoSpaceDN w:val="0"/>
        <w:adjustRightInd w:val="0"/>
        <w:ind w:right="-1"/>
        <w:outlineLvl w:val="0"/>
        <w:rPr>
          <w:sz w:val="28"/>
          <w:szCs w:val="28"/>
        </w:rPr>
      </w:pPr>
    </w:p>
    <w:tbl>
      <w:tblPr>
        <w:tblStyle w:val="3"/>
        <w:tblW w:w="9760" w:type="dxa"/>
        <w:tblInd w:w="93" w:type="dxa"/>
        <w:tblLayout w:type="fixed"/>
        <w:tblCellMar>
          <w:top w:w="0" w:type="dxa"/>
          <w:left w:w="108" w:type="dxa"/>
          <w:bottom w:w="0" w:type="dxa"/>
          <w:right w:w="108" w:type="dxa"/>
        </w:tblCellMar>
      </w:tblPr>
      <w:tblGrid>
        <w:gridCol w:w="913"/>
        <w:gridCol w:w="1370"/>
        <w:gridCol w:w="3119"/>
        <w:gridCol w:w="4358"/>
      </w:tblGrid>
      <w:tr w14:paraId="65A375DC">
        <w:tblPrEx>
          <w:tblCellMar>
            <w:top w:w="0" w:type="dxa"/>
            <w:left w:w="108" w:type="dxa"/>
            <w:bottom w:w="0" w:type="dxa"/>
            <w:right w:w="108" w:type="dxa"/>
          </w:tblCellMar>
        </w:tblPrEx>
        <w:trPr>
          <w:trHeight w:val="1890" w:hRule="atLeast"/>
        </w:trPr>
        <w:tc>
          <w:tcPr>
            <w:tcW w:w="913" w:type="dxa"/>
            <w:tcBorders>
              <w:top w:val="single" w:color="auto" w:sz="4" w:space="0"/>
              <w:left w:val="single" w:color="auto" w:sz="4" w:space="0"/>
              <w:bottom w:val="nil"/>
              <w:right w:val="single" w:color="auto" w:sz="4" w:space="0"/>
            </w:tcBorders>
            <w:shd w:val="clear" w:color="auto" w:fill="auto"/>
            <w:vAlign w:val="center"/>
          </w:tcPr>
          <w:p w14:paraId="085F133A">
            <w:pPr>
              <w:jc w:val="center"/>
              <w:rPr>
                <w:color w:val="auto"/>
                <w:sz w:val="28"/>
                <w:szCs w:val="28"/>
              </w:rPr>
            </w:pPr>
            <w:r>
              <w:rPr>
                <w:color w:val="auto"/>
                <w:sz w:val="28"/>
                <w:szCs w:val="28"/>
              </w:rPr>
              <w:t xml:space="preserve">№ </w:t>
            </w:r>
            <w:r>
              <w:rPr>
                <w:color w:val="auto"/>
                <w:sz w:val="28"/>
                <w:szCs w:val="28"/>
              </w:rPr>
              <w:br w:type="textWrapping"/>
            </w:r>
            <w:r>
              <w:rPr>
                <w:color w:val="auto"/>
                <w:sz w:val="28"/>
                <w:szCs w:val="28"/>
              </w:rPr>
              <w:t>строки</w:t>
            </w:r>
          </w:p>
        </w:tc>
        <w:tc>
          <w:tcPr>
            <w:tcW w:w="1370" w:type="dxa"/>
            <w:tcBorders>
              <w:top w:val="single" w:color="auto" w:sz="4" w:space="0"/>
              <w:left w:val="nil"/>
              <w:bottom w:val="single" w:color="auto" w:sz="4" w:space="0"/>
              <w:right w:val="single" w:color="auto" w:sz="4" w:space="0"/>
            </w:tcBorders>
            <w:shd w:val="clear" w:color="auto" w:fill="auto"/>
            <w:vAlign w:val="center"/>
          </w:tcPr>
          <w:p w14:paraId="0B60DB1D">
            <w:pPr>
              <w:jc w:val="center"/>
              <w:rPr>
                <w:color w:val="auto"/>
                <w:sz w:val="28"/>
                <w:szCs w:val="28"/>
              </w:rPr>
            </w:pPr>
            <w:r>
              <w:rPr>
                <w:color w:val="auto"/>
                <w:sz w:val="28"/>
                <w:szCs w:val="28"/>
              </w:rPr>
              <w:t>Код главного администратора</w:t>
            </w:r>
          </w:p>
        </w:tc>
        <w:tc>
          <w:tcPr>
            <w:tcW w:w="3119" w:type="dxa"/>
            <w:tcBorders>
              <w:top w:val="single" w:color="auto" w:sz="4" w:space="0"/>
              <w:left w:val="nil"/>
              <w:bottom w:val="single" w:color="auto" w:sz="4" w:space="0"/>
              <w:right w:val="single" w:color="auto" w:sz="4" w:space="0"/>
            </w:tcBorders>
            <w:shd w:val="clear" w:color="auto" w:fill="auto"/>
            <w:vAlign w:val="center"/>
          </w:tcPr>
          <w:p w14:paraId="247E151E">
            <w:pPr>
              <w:jc w:val="center"/>
              <w:rPr>
                <w:color w:val="auto"/>
                <w:sz w:val="28"/>
                <w:szCs w:val="28"/>
              </w:rPr>
            </w:pPr>
            <w:r>
              <w:rPr>
                <w:color w:val="auto"/>
                <w:sz w:val="28"/>
                <w:szCs w:val="28"/>
              </w:rPr>
              <w:t xml:space="preserve">Код классификации источников финансирования дефицита районного бюджета </w:t>
            </w:r>
          </w:p>
        </w:tc>
        <w:tc>
          <w:tcPr>
            <w:tcW w:w="4358" w:type="dxa"/>
            <w:tcBorders>
              <w:top w:val="single" w:color="auto" w:sz="4" w:space="0"/>
              <w:left w:val="nil"/>
              <w:bottom w:val="single" w:color="auto" w:sz="4" w:space="0"/>
              <w:right w:val="single" w:color="auto" w:sz="4" w:space="0"/>
            </w:tcBorders>
            <w:shd w:val="clear" w:color="auto" w:fill="auto"/>
            <w:vAlign w:val="center"/>
          </w:tcPr>
          <w:p w14:paraId="28395D2C">
            <w:pPr>
              <w:jc w:val="center"/>
              <w:rPr>
                <w:color w:val="auto"/>
                <w:sz w:val="28"/>
                <w:szCs w:val="28"/>
              </w:rPr>
            </w:pPr>
            <w:r>
              <w:rPr>
                <w:color w:val="auto"/>
                <w:sz w:val="28"/>
                <w:szCs w:val="28"/>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r>
      <w:tr w14:paraId="185AD369">
        <w:tblPrEx>
          <w:tblCellMar>
            <w:top w:w="0" w:type="dxa"/>
            <w:left w:w="108" w:type="dxa"/>
            <w:bottom w:w="0" w:type="dxa"/>
            <w:right w:w="108" w:type="dxa"/>
          </w:tblCellMar>
        </w:tblPrEx>
        <w:trPr>
          <w:trHeight w:val="315" w:hRule="atLeast"/>
        </w:trPr>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5BB8A3">
            <w:pPr>
              <w:jc w:val="center"/>
              <w:rPr>
                <w:color w:val="auto"/>
                <w:sz w:val="28"/>
                <w:szCs w:val="28"/>
              </w:rPr>
            </w:pPr>
            <w:r>
              <w:rPr>
                <w:color w:val="auto"/>
                <w:sz w:val="28"/>
                <w:szCs w:val="28"/>
              </w:rPr>
              <w:t> </w:t>
            </w:r>
          </w:p>
        </w:tc>
        <w:tc>
          <w:tcPr>
            <w:tcW w:w="1370" w:type="dxa"/>
            <w:tcBorders>
              <w:top w:val="nil"/>
              <w:left w:val="nil"/>
              <w:bottom w:val="single" w:color="auto" w:sz="4" w:space="0"/>
              <w:right w:val="single" w:color="auto" w:sz="4" w:space="0"/>
            </w:tcBorders>
            <w:shd w:val="clear" w:color="auto" w:fill="auto"/>
            <w:vAlign w:val="center"/>
          </w:tcPr>
          <w:p w14:paraId="5A3C479B">
            <w:pPr>
              <w:jc w:val="center"/>
              <w:rPr>
                <w:color w:val="auto"/>
                <w:sz w:val="28"/>
                <w:szCs w:val="28"/>
              </w:rPr>
            </w:pPr>
            <w:r>
              <w:rPr>
                <w:color w:val="auto"/>
                <w:sz w:val="28"/>
                <w:szCs w:val="28"/>
              </w:rPr>
              <w:t>1</w:t>
            </w:r>
          </w:p>
        </w:tc>
        <w:tc>
          <w:tcPr>
            <w:tcW w:w="3119" w:type="dxa"/>
            <w:tcBorders>
              <w:top w:val="nil"/>
              <w:left w:val="nil"/>
              <w:bottom w:val="single" w:color="auto" w:sz="4" w:space="0"/>
              <w:right w:val="single" w:color="auto" w:sz="4" w:space="0"/>
            </w:tcBorders>
            <w:shd w:val="clear" w:color="auto" w:fill="auto"/>
            <w:vAlign w:val="center"/>
          </w:tcPr>
          <w:p w14:paraId="28806744">
            <w:pPr>
              <w:jc w:val="center"/>
              <w:rPr>
                <w:color w:val="auto"/>
                <w:sz w:val="28"/>
                <w:szCs w:val="28"/>
              </w:rPr>
            </w:pPr>
            <w:r>
              <w:rPr>
                <w:color w:val="auto"/>
                <w:sz w:val="28"/>
                <w:szCs w:val="28"/>
              </w:rPr>
              <w:t>2</w:t>
            </w:r>
          </w:p>
        </w:tc>
        <w:tc>
          <w:tcPr>
            <w:tcW w:w="4358" w:type="dxa"/>
            <w:tcBorders>
              <w:top w:val="nil"/>
              <w:left w:val="nil"/>
              <w:bottom w:val="single" w:color="auto" w:sz="4" w:space="0"/>
              <w:right w:val="single" w:color="auto" w:sz="4" w:space="0"/>
            </w:tcBorders>
            <w:shd w:val="clear" w:color="auto" w:fill="auto"/>
          </w:tcPr>
          <w:p w14:paraId="04965CCA">
            <w:pPr>
              <w:jc w:val="center"/>
              <w:rPr>
                <w:color w:val="auto"/>
                <w:sz w:val="28"/>
                <w:szCs w:val="28"/>
              </w:rPr>
            </w:pPr>
            <w:r>
              <w:rPr>
                <w:color w:val="auto"/>
                <w:sz w:val="28"/>
                <w:szCs w:val="28"/>
              </w:rPr>
              <w:t>3</w:t>
            </w:r>
          </w:p>
        </w:tc>
      </w:tr>
      <w:tr w14:paraId="65BC96AB">
        <w:tblPrEx>
          <w:tblCellMar>
            <w:top w:w="0" w:type="dxa"/>
            <w:left w:w="108" w:type="dxa"/>
            <w:bottom w:w="0" w:type="dxa"/>
            <w:right w:w="108" w:type="dxa"/>
          </w:tblCellMar>
        </w:tblPrEx>
        <w:trPr>
          <w:trHeight w:val="315"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14:paraId="7442FDFC">
            <w:pPr>
              <w:jc w:val="center"/>
              <w:rPr>
                <w:color w:val="auto"/>
                <w:sz w:val="28"/>
                <w:szCs w:val="28"/>
              </w:rPr>
            </w:pPr>
            <w:r>
              <w:rPr>
                <w:color w:val="auto"/>
                <w:sz w:val="28"/>
                <w:szCs w:val="28"/>
              </w:rPr>
              <w:t>1</w:t>
            </w:r>
          </w:p>
        </w:tc>
        <w:tc>
          <w:tcPr>
            <w:tcW w:w="1370" w:type="dxa"/>
            <w:tcBorders>
              <w:top w:val="nil"/>
              <w:left w:val="nil"/>
              <w:bottom w:val="single" w:color="auto" w:sz="4" w:space="0"/>
              <w:right w:val="single" w:color="auto" w:sz="4" w:space="0"/>
            </w:tcBorders>
            <w:shd w:val="clear" w:color="auto" w:fill="auto"/>
            <w:vAlign w:val="center"/>
          </w:tcPr>
          <w:p w14:paraId="15EFFCB3">
            <w:pPr>
              <w:jc w:val="center"/>
              <w:rPr>
                <w:color w:val="auto"/>
                <w:sz w:val="28"/>
                <w:szCs w:val="28"/>
              </w:rPr>
            </w:pPr>
            <w:r>
              <w:rPr>
                <w:color w:val="auto"/>
                <w:sz w:val="28"/>
                <w:szCs w:val="28"/>
              </w:rPr>
              <w:t>842</w:t>
            </w:r>
          </w:p>
        </w:tc>
        <w:tc>
          <w:tcPr>
            <w:tcW w:w="7477" w:type="dxa"/>
            <w:gridSpan w:val="2"/>
            <w:tcBorders>
              <w:top w:val="single" w:color="auto" w:sz="4" w:space="0"/>
              <w:left w:val="nil"/>
              <w:bottom w:val="single" w:color="auto" w:sz="4" w:space="0"/>
              <w:right w:val="single" w:color="auto" w:sz="4" w:space="0"/>
            </w:tcBorders>
            <w:shd w:val="clear" w:color="auto" w:fill="auto"/>
            <w:vAlign w:val="center"/>
          </w:tcPr>
          <w:p w14:paraId="0688614E">
            <w:pPr>
              <w:jc w:val="center"/>
              <w:rPr>
                <w:color w:val="auto"/>
                <w:sz w:val="28"/>
                <w:szCs w:val="28"/>
              </w:rPr>
            </w:pPr>
            <w:r>
              <w:rPr>
                <w:color w:val="auto"/>
                <w:sz w:val="28"/>
                <w:szCs w:val="28"/>
              </w:rPr>
              <w:t>Администраци Рощинского сельсовета</w:t>
            </w:r>
          </w:p>
        </w:tc>
      </w:tr>
      <w:tr w14:paraId="65E5E60C">
        <w:tblPrEx>
          <w:tblCellMar>
            <w:top w:w="0" w:type="dxa"/>
            <w:left w:w="108" w:type="dxa"/>
            <w:bottom w:w="0" w:type="dxa"/>
            <w:right w:w="108" w:type="dxa"/>
          </w:tblCellMar>
        </w:tblPrEx>
        <w:trPr>
          <w:trHeight w:val="1260"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14:paraId="44DEBFE4">
            <w:pPr>
              <w:jc w:val="center"/>
              <w:rPr>
                <w:color w:val="auto"/>
                <w:sz w:val="28"/>
                <w:szCs w:val="28"/>
              </w:rPr>
            </w:pPr>
            <w:r>
              <w:rPr>
                <w:color w:val="auto"/>
                <w:sz w:val="28"/>
                <w:szCs w:val="28"/>
              </w:rPr>
              <w:t>2</w:t>
            </w:r>
          </w:p>
        </w:tc>
        <w:tc>
          <w:tcPr>
            <w:tcW w:w="1370" w:type="dxa"/>
            <w:tcBorders>
              <w:top w:val="nil"/>
              <w:left w:val="nil"/>
              <w:bottom w:val="single" w:color="auto" w:sz="4" w:space="0"/>
              <w:right w:val="single" w:color="auto" w:sz="4" w:space="0"/>
            </w:tcBorders>
            <w:shd w:val="clear" w:color="auto" w:fill="auto"/>
            <w:noWrap/>
            <w:vAlign w:val="center"/>
          </w:tcPr>
          <w:p w14:paraId="6ED06AE3">
            <w:pPr>
              <w:jc w:val="center"/>
              <w:rPr>
                <w:color w:val="auto"/>
                <w:sz w:val="28"/>
                <w:szCs w:val="28"/>
              </w:rPr>
            </w:pPr>
            <w:r>
              <w:rPr>
                <w:color w:val="auto"/>
                <w:sz w:val="28"/>
                <w:szCs w:val="28"/>
              </w:rPr>
              <w:t>842</w:t>
            </w:r>
          </w:p>
        </w:tc>
        <w:tc>
          <w:tcPr>
            <w:tcW w:w="3119" w:type="dxa"/>
            <w:tcBorders>
              <w:top w:val="nil"/>
              <w:left w:val="nil"/>
              <w:bottom w:val="single" w:color="auto" w:sz="4" w:space="0"/>
              <w:right w:val="single" w:color="auto" w:sz="4" w:space="0"/>
            </w:tcBorders>
            <w:shd w:val="clear" w:color="auto" w:fill="auto"/>
            <w:noWrap/>
            <w:vAlign w:val="center"/>
          </w:tcPr>
          <w:p w14:paraId="72FEDEFC">
            <w:pPr>
              <w:jc w:val="center"/>
              <w:rPr>
                <w:color w:val="auto"/>
                <w:sz w:val="28"/>
                <w:szCs w:val="28"/>
              </w:rPr>
            </w:pPr>
            <w:r>
              <w:rPr>
                <w:color w:val="auto"/>
                <w:sz w:val="28"/>
                <w:szCs w:val="28"/>
              </w:rPr>
              <w:t>01 05 02 01 05 0000 510</w:t>
            </w:r>
          </w:p>
        </w:tc>
        <w:tc>
          <w:tcPr>
            <w:tcW w:w="4358" w:type="dxa"/>
            <w:tcBorders>
              <w:top w:val="nil"/>
              <w:left w:val="nil"/>
              <w:bottom w:val="single" w:color="auto" w:sz="4" w:space="0"/>
              <w:right w:val="single" w:color="auto" w:sz="4" w:space="0"/>
            </w:tcBorders>
            <w:shd w:val="clear" w:color="auto" w:fill="auto"/>
          </w:tcPr>
          <w:p w14:paraId="2084D896">
            <w:pPr>
              <w:rPr>
                <w:color w:val="auto"/>
                <w:sz w:val="28"/>
                <w:szCs w:val="28"/>
              </w:rPr>
            </w:pPr>
            <w:r>
              <w:rPr>
                <w:color w:val="auto"/>
                <w:sz w:val="28"/>
                <w:szCs w:val="28"/>
              </w:rPr>
              <w:t>Увеличение прочих остатков денежных средств бюджетов поселений</w:t>
            </w:r>
          </w:p>
        </w:tc>
      </w:tr>
      <w:tr w14:paraId="2F52D0DB">
        <w:tblPrEx>
          <w:tblCellMar>
            <w:top w:w="0" w:type="dxa"/>
            <w:left w:w="108" w:type="dxa"/>
            <w:bottom w:w="0" w:type="dxa"/>
            <w:right w:w="108" w:type="dxa"/>
          </w:tblCellMar>
        </w:tblPrEx>
        <w:trPr>
          <w:trHeight w:val="1260"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14:paraId="15B4335F">
            <w:pPr>
              <w:jc w:val="center"/>
              <w:rPr>
                <w:color w:val="auto"/>
                <w:sz w:val="28"/>
                <w:szCs w:val="28"/>
              </w:rPr>
            </w:pPr>
            <w:r>
              <w:rPr>
                <w:color w:val="auto"/>
                <w:sz w:val="28"/>
                <w:szCs w:val="28"/>
              </w:rPr>
              <w:t>3</w:t>
            </w:r>
          </w:p>
        </w:tc>
        <w:tc>
          <w:tcPr>
            <w:tcW w:w="1370" w:type="dxa"/>
            <w:tcBorders>
              <w:top w:val="nil"/>
              <w:left w:val="nil"/>
              <w:bottom w:val="single" w:color="auto" w:sz="4" w:space="0"/>
              <w:right w:val="single" w:color="auto" w:sz="4" w:space="0"/>
            </w:tcBorders>
            <w:shd w:val="clear" w:color="auto" w:fill="auto"/>
            <w:noWrap/>
            <w:vAlign w:val="center"/>
          </w:tcPr>
          <w:p w14:paraId="3BEF65C8">
            <w:pPr>
              <w:jc w:val="center"/>
              <w:rPr>
                <w:color w:val="auto"/>
                <w:sz w:val="28"/>
                <w:szCs w:val="28"/>
              </w:rPr>
            </w:pPr>
            <w:r>
              <w:rPr>
                <w:color w:val="auto"/>
                <w:sz w:val="28"/>
                <w:szCs w:val="28"/>
              </w:rPr>
              <w:t>842</w:t>
            </w:r>
          </w:p>
        </w:tc>
        <w:tc>
          <w:tcPr>
            <w:tcW w:w="3119" w:type="dxa"/>
            <w:tcBorders>
              <w:top w:val="nil"/>
              <w:left w:val="nil"/>
              <w:bottom w:val="single" w:color="auto" w:sz="4" w:space="0"/>
              <w:right w:val="single" w:color="auto" w:sz="4" w:space="0"/>
            </w:tcBorders>
            <w:shd w:val="clear" w:color="auto" w:fill="auto"/>
            <w:noWrap/>
            <w:vAlign w:val="center"/>
          </w:tcPr>
          <w:p w14:paraId="3EC8AF93">
            <w:pPr>
              <w:jc w:val="center"/>
              <w:rPr>
                <w:color w:val="auto"/>
                <w:sz w:val="28"/>
                <w:szCs w:val="28"/>
              </w:rPr>
            </w:pPr>
            <w:r>
              <w:rPr>
                <w:color w:val="auto"/>
                <w:sz w:val="28"/>
                <w:szCs w:val="28"/>
              </w:rPr>
              <w:t>01 05 02 01 05 0000 610</w:t>
            </w:r>
          </w:p>
        </w:tc>
        <w:tc>
          <w:tcPr>
            <w:tcW w:w="4358" w:type="dxa"/>
            <w:tcBorders>
              <w:top w:val="nil"/>
              <w:left w:val="nil"/>
              <w:bottom w:val="single" w:color="auto" w:sz="4" w:space="0"/>
              <w:right w:val="single" w:color="auto" w:sz="4" w:space="0"/>
            </w:tcBorders>
            <w:shd w:val="clear" w:color="auto" w:fill="auto"/>
          </w:tcPr>
          <w:p w14:paraId="5878FEF3">
            <w:pPr>
              <w:jc w:val="both"/>
              <w:rPr>
                <w:color w:val="auto"/>
                <w:sz w:val="28"/>
                <w:szCs w:val="28"/>
              </w:rPr>
            </w:pPr>
            <w:r>
              <w:rPr>
                <w:color w:val="auto"/>
                <w:sz w:val="28"/>
                <w:szCs w:val="28"/>
              </w:rPr>
              <w:t>Уменьшение прочих остатков денежных средств бюджетов поселений</w:t>
            </w:r>
          </w:p>
        </w:tc>
      </w:tr>
    </w:tbl>
    <w:p w14:paraId="07DCFA9F">
      <w:pPr>
        <w:autoSpaceDE w:val="0"/>
        <w:autoSpaceDN w:val="0"/>
        <w:adjustRightInd w:val="0"/>
        <w:ind w:right="-1"/>
        <w:outlineLvl w:val="0"/>
        <w:rPr>
          <w:sz w:val="28"/>
          <w:szCs w:val="28"/>
        </w:rPr>
      </w:pPr>
    </w:p>
    <w:sectPr>
      <w:type w:val="continuous"/>
      <w:pgSz w:w="11905" w:h="16837"/>
      <w:pgMar w:top="851" w:right="706" w:bottom="426" w:left="1559" w:header="0" w:footer="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2"/>
  </w:compat>
  <w:rsids>
    <w:rsidRoot w:val="00D44765"/>
    <w:rsid w:val="00072971"/>
    <w:rsid w:val="000B2E0A"/>
    <w:rsid w:val="000F7918"/>
    <w:rsid w:val="00117787"/>
    <w:rsid w:val="001240B2"/>
    <w:rsid w:val="00132491"/>
    <w:rsid w:val="00147BB4"/>
    <w:rsid w:val="0015354A"/>
    <w:rsid w:val="0018287F"/>
    <w:rsid w:val="001A0A76"/>
    <w:rsid w:val="001B2958"/>
    <w:rsid w:val="001C2E05"/>
    <w:rsid w:val="001D0296"/>
    <w:rsid w:val="001F6D40"/>
    <w:rsid w:val="002252C8"/>
    <w:rsid w:val="002259E2"/>
    <w:rsid w:val="00292C1E"/>
    <w:rsid w:val="002C15D7"/>
    <w:rsid w:val="002C6E7C"/>
    <w:rsid w:val="002D23D6"/>
    <w:rsid w:val="002D2979"/>
    <w:rsid w:val="002F2831"/>
    <w:rsid w:val="00375922"/>
    <w:rsid w:val="003839D7"/>
    <w:rsid w:val="003A4B37"/>
    <w:rsid w:val="003B0731"/>
    <w:rsid w:val="003E5A9F"/>
    <w:rsid w:val="00407CF8"/>
    <w:rsid w:val="00437A50"/>
    <w:rsid w:val="00451F6A"/>
    <w:rsid w:val="004A2EEC"/>
    <w:rsid w:val="004B08B0"/>
    <w:rsid w:val="004B7B66"/>
    <w:rsid w:val="004D1754"/>
    <w:rsid w:val="004F4148"/>
    <w:rsid w:val="00512E7B"/>
    <w:rsid w:val="005326B2"/>
    <w:rsid w:val="005509FF"/>
    <w:rsid w:val="0055362C"/>
    <w:rsid w:val="00561EAE"/>
    <w:rsid w:val="00562741"/>
    <w:rsid w:val="005644C8"/>
    <w:rsid w:val="00567DB7"/>
    <w:rsid w:val="00574495"/>
    <w:rsid w:val="00577707"/>
    <w:rsid w:val="005801A4"/>
    <w:rsid w:val="00582AAE"/>
    <w:rsid w:val="00583CE0"/>
    <w:rsid w:val="005904E6"/>
    <w:rsid w:val="005A3D73"/>
    <w:rsid w:val="005C0B08"/>
    <w:rsid w:val="005F2DC1"/>
    <w:rsid w:val="006028E5"/>
    <w:rsid w:val="006054BC"/>
    <w:rsid w:val="0062354D"/>
    <w:rsid w:val="00660184"/>
    <w:rsid w:val="00664E0E"/>
    <w:rsid w:val="00665745"/>
    <w:rsid w:val="006802DA"/>
    <w:rsid w:val="006E0049"/>
    <w:rsid w:val="006E48D2"/>
    <w:rsid w:val="006F4F0C"/>
    <w:rsid w:val="00701778"/>
    <w:rsid w:val="007062EE"/>
    <w:rsid w:val="00746C97"/>
    <w:rsid w:val="00755F1D"/>
    <w:rsid w:val="00761655"/>
    <w:rsid w:val="00765660"/>
    <w:rsid w:val="00787F16"/>
    <w:rsid w:val="00794567"/>
    <w:rsid w:val="007A5D7F"/>
    <w:rsid w:val="007A717F"/>
    <w:rsid w:val="007B37D7"/>
    <w:rsid w:val="007C24E6"/>
    <w:rsid w:val="00802597"/>
    <w:rsid w:val="008070CC"/>
    <w:rsid w:val="00820562"/>
    <w:rsid w:val="00830996"/>
    <w:rsid w:val="008342CC"/>
    <w:rsid w:val="00837DAD"/>
    <w:rsid w:val="008516F4"/>
    <w:rsid w:val="008603B4"/>
    <w:rsid w:val="00861A6C"/>
    <w:rsid w:val="0086201E"/>
    <w:rsid w:val="008671DE"/>
    <w:rsid w:val="00886004"/>
    <w:rsid w:val="00896352"/>
    <w:rsid w:val="008E0607"/>
    <w:rsid w:val="00910817"/>
    <w:rsid w:val="00911DBE"/>
    <w:rsid w:val="00915144"/>
    <w:rsid w:val="00916A47"/>
    <w:rsid w:val="00956292"/>
    <w:rsid w:val="009574D5"/>
    <w:rsid w:val="00976A4B"/>
    <w:rsid w:val="009E4BFE"/>
    <w:rsid w:val="00A069DC"/>
    <w:rsid w:val="00A256A3"/>
    <w:rsid w:val="00A83B8F"/>
    <w:rsid w:val="00A86EEB"/>
    <w:rsid w:val="00AA137C"/>
    <w:rsid w:val="00AB152C"/>
    <w:rsid w:val="00AB4B3D"/>
    <w:rsid w:val="00AC4DD4"/>
    <w:rsid w:val="00B00E16"/>
    <w:rsid w:val="00B131E8"/>
    <w:rsid w:val="00B22575"/>
    <w:rsid w:val="00B255A0"/>
    <w:rsid w:val="00B3776A"/>
    <w:rsid w:val="00B40597"/>
    <w:rsid w:val="00B57D4E"/>
    <w:rsid w:val="00B57EA2"/>
    <w:rsid w:val="00B6277D"/>
    <w:rsid w:val="00BB17E0"/>
    <w:rsid w:val="00BB36F6"/>
    <w:rsid w:val="00BD1DCD"/>
    <w:rsid w:val="00BF1158"/>
    <w:rsid w:val="00BF6C32"/>
    <w:rsid w:val="00BF787B"/>
    <w:rsid w:val="00BF7BDE"/>
    <w:rsid w:val="00C0190F"/>
    <w:rsid w:val="00C026D5"/>
    <w:rsid w:val="00C1039E"/>
    <w:rsid w:val="00C11093"/>
    <w:rsid w:val="00C16351"/>
    <w:rsid w:val="00C37D20"/>
    <w:rsid w:val="00CA032B"/>
    <w:rsid w:val="00CB0666"/>
    <w:rsid w:val="00CC7AFD"/>
    <w:rsid w:val="00D0157B"/>
    <w:rsid w:val="00D045C8"/>
    <w:rsid w:val="00D145EE"/>
    <w:rsid w:val="00D14CDA"/>
    <w:rsid w:val="00D233B5"/>
    <w:rsid w:val="00D44765"/>
    <w:rsid w:val="00D47A42"/>
    <w:rsid w:val="00DE6F9B"/>
    <w:rsid w:val="00DF7B42"/>
    <w:rsid w:val="00E07AF5"/>
    <w:rsid w:val="00E67616"/>
    <w:rsid w:val="00E67BF2"/>
    <w:rsid w:val="00EA2DCE"/>
    <w:rsid w:val="00EC1683"/>
    <w:rsid w:val="00EC3A85"/>
    <w:rsid w:val="00F025D7"/>
    <w:rsid w:val="00F03860"/>
    <w:rsid w:val="00F05399"/>
    <w:rsid w:val="00F21572"/>
    <w:rsid w:val="00F24B6C"/>
    <w:rsid w:val="00F369CD"/>
    <w:rsid w:val="00F5432F"/>
    <w:rsid w:val="00F9318F"/>
    <w:rsid w:val="00FB2D31"/>
    <w:rsid w:val="00FC0B5F"/>
    <w:rsid w:val="00FD3C55"/>
    <w:rsid w:val="5B0A62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uiPriority w:val="0"/>
    <w:rPr>
      <w:rFonts w:ascii="Times New Roman" w:hAnsi="Times New Roman" w:eastAsia="Times New Roman" w:cs="Times New Roman"/>
      <w:color w:val="000000"/>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80"/>
      <w:u w:val="single"/>
    </w:rPr>
  </w:style>
  <w:style w:type="character" w:styleId="5">
    <w:name w:val="page number"/>
    <w:qFormat/>
    <w:uiPriority w:val="0"/>
  </w:style>
  <w:style w:type="character" w:styleId="6">
    <w:name w:val="Strong"/>
    <w:qFormat/>
    <w:uiPriority w:val="22"/>
    <w:rPr>
      <w:b/>
      <w:bCs/>
    </w:rPr>
  </w:style>
  <w:style w:type="paragraph" w:styleId="7">
    <w:name w:val="Balloon Text"/>
    <w:basedOn w:val="1"/>
    <w:link w:val="20"/>
    <w:semiHidden/>
    <w:unhideWhenUsed/>
    <w:qFormat/>
    <w:uiPriority w:val="99"/>
    <w:rPr>
      <w:rFonts w:ascii="Tahoma" w:hAnsi="Tahoma" w:cs="Tahoma"/>
      <w:sz w:val="16"/>
      <w:szCs w:val="16"/>
    </w:rPr>
  </w:style>
  <w:style w:type="paragraph" w:styleId="8">
    <w:name w:val="Normal (Web)"/>
    <w:basedOn w:val="1"/>
    <w:semiHidden/>
    <w:unhideWhenUsed/>
    <w:qFormat/>
    <w:uiPriority w:val="99"/>
    <w:pPr>
      <w:spacing w:before="100" w:beforeAutospacing="1" w:after="100" w:afterAutospacing="1"/>
    </w:pPr>
    <w:rPr>
      <w:color w:val="auto"/>
    </w:rPr>
  </w:style>
  <w:style w:type="paragraph" w:styleId="9">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table" w:styleId="10">
    <w:name w:val="Table Grid"/>
    <w:basedOn w:val="3"/>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_"/>
    <w:link w:val="12"/>
    <w:qFormat/>
    <w:uiPriority w:val="0"/>
    <w:rPr>
      <w:spacing w:val="0"/>
      <w:sz w:val="27"/>
      <w:szCs w:val="27"/>
    </w:rPr>
  </w:style>
  <w:style w:type="paragraph" w:customStyle="1" w:styleId="12">
    <w:name w:val="Заголовок №1"/>
    <w:basedOn w:val="1"/>
    <w:link w:val="11"/>
    <w:uiPriority w:val="0"/>
    <w:pPr>
      <w:shd w:val="clear" w:color="auto" w:fill="FFFFFF"/>
      <w:spacing w:before="480" w:line="480" w:lineRule="exact"/>
      <w:outlineLvl w:val="0"/>
    </w:pPr>
    <w:rPr>
      <w:b/>
      <w:bCs/>
      <w:sz w:val="27"/>
      <w:szCs w:val="27"/>
    </w:rPr>
  </w:style>
  <w:style w:type="character" w:customStyle="1" w:styleId="13">
    <w:name w:val="Основной текст (2)_"/>
    <w:link w:val="14"/>
    <w:uiPriority w:val="0"/>
    <w:rPr>
      <w:spacing w:val="0"/>
      <w:sz w:val="25"/>
      <w:szCs w:val="25"/>
    </w:rPr>
  </w:style>
  <w:style w:type="paragraph" w:customStyle="1" w:styleId="14">
    <w:name w:val="Основной текст (2)"/>
    <w:basedOn w:val="1"/>
    <w:link w:val="13"/>
    <w:qFormat/>
    <w:uiPriority w:val="0"/>
    <w:pPr>
      <w:shd w:val="clear" w:color="auto" w:fill="FFFFFF"/>
      <w:spacing w:line="0" w:lineRule="atLeast"/>
    </w:pPr>
    <w:rPr>
      <w:sz w:val="25"/>
      <w:szCs w:val="25"/>
    </w:rPr>
  </w:style>
  <w:style w:type="character" w:customStyle="1" w:styleId="15">
    <w:name w:val="Основной текст_"/>
    <w:link w:val="16"/>
    <w:uiPriority w:val="0"/>
    <w:rPr>
      <w:spacing w:val="0"/>
      <w:sz w:val="27"/>
      <w:szCs w:val="27"/>
    </w:rPr>
  </w:style>
  <w:style w:type="paragraph" w:customStyle="1" w:styleId="16">
    <w:name w:val="Основной текст1"/>
    <w:basedOn w:val="1"/>
    <w:link w:val="15"/>
    <w:uiPriority w:val="0"/>
    <w:pPr>
      <w:shd w:val="clear" w:color="auto" w:fill="FFFFFF"/>
      <w:spacing w:line="0" w:lineRule="atLeast"/>
    </w:pPr>
    <w:rPr>
      <w:sz w:val="27"/>
      <w:szCs w:val="27"/>
    </w:rPr>
  </w:style>
  <w:style w:type="paragraph" w:customStyle="1" w:styleId="17">
    <w:name w:val="ConsNormal"/>
    <w:uiPriority w:val="0"/>
    <w:pPr>
      <w:autoSpaceDE w:val="0"/>
      <w:autoSpaceDN w:val="0"/>
      <w:adjustRightInd w:val="0"/>
      <w:ind w:right="19772" w:firstLine="720"/>
    </w:pPr>
    <w:rPr>
      <w:rFonts w:ascii="Arial" w:hAnsi="Arial" w:eastAsia="Times New Roman" w:cs="Arial"/>
      <w:lang w:val="ru-RU" w:eastAsia="ru-RU" w:bidi="ar-SA"/>
    </w:rPr>
  </w:style>
  <w:style w:type="character" w:customStyle="1" w:styleId="18">
    <w:name w:val="Стандартный HTML Знак"/>
    <w:link w:val="9"/>
    <w:uiPriority w:val="99"/>
    <w:rPr>
      <w:rFonts w:ascii="Courier New" w:hAnsi="Courier New" w:cs="Courier New"/>
    </w:rPr>
  </w:style>
  <w:style w:type="paragraph" w:customStyle="1" w:styleId="19">
    <w:name w:val="ConsPlusNormal"/>
    <w:uiPriority w:val="0"/>
    <w:pPr>
      <w:autoSpaceDE w:val="0"/>
      <w:autoSpaceDN w:val="0"/>
      <w:adjustRightInd w:val="0"/>
    </w:pPr>
    <w:rPr>
      <w:rFonts w:ascii="Times New Roman" w:hAnsi="Times New Roman" w:eastAsia="Calibri" w:cs="Times New Roman"/>
      <w:sz w:val="28"/>
      <w:szCs w:val="28"/>
      <w:lang w:val="ru-RU" w:eastAsia="en-US" w:bidi="ar-SA"/>
    </w:rPr>
  </w:style>
  <w:style w:type="character" w:customStyle="1" w:styleId="20">
    <w:name w:val="Текст выноски Знак"/>
    <w:basedOn w:val="2"/>
    <w:link w:val="7"/>
    <w:semiHidden/>
    <w:uiPriority w:val="99"/>
    <w:rPr>
      <w:rFonts w:ascii="Tahoma" w:hAnsi="Tahoma" w:cs="Tahoma"/>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C0576-131E-4C94-B173-D52076F45DC4}">
  <ds:schemaRefs/>
</ds:datastoreItem>
</file>

<file path=docProps/app.xml><?xml version="1.0" encoding="utf-8"?>
<Properties xmlns="http://schemas.openxmlformats.org/officeDocument/2006/extended-properties" xmlns:vt="http://schemas.openxmlformats.org/officeDocument/2006/docPropsVTypes">
  <Template>Normal</Template>
  <Pages>3</Pages>
  <Words>540</Words>
  <Characters>3083</Characters>
  <Lines>25</Lines>
  <Paragraphs>7</Paragraphs>
  <TotalTime>24</TotalTime>
  <ScaleCrop>false</ScaleCrop>
  <LinksUpToDate>false</LinksUpToDate>
  <CharactersWithSpaces>3616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2021-12-13T23:58:00Z</dcterms:created>
  <dc:creator>User</dc:creator>
  <cp:lastModifiedBy>User</cp:lastModifiedBy>
  <cp:lastPrinted>2024-11-11T06:55:44Z</cp:lastPrinted>
  <dcterms:modified xsi:type="dcterms:W3CDTF">2024-11-11T06:56:31Z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282EF61910F5465192E8B3AD46C77AA7_12</vt:lpwstr>
  </property>
</Properties>
</file>